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ESOGU FACUULTY OF ART AND DESIGN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-151129</wp:posOffset>
            </wp:positionV>
            <wp:extent cx="719455" cy="719455"/>
            <wp:effectExtent b="0" l="0" r="0" t="0"/>
            <wp:wrapNone/>
            <wp:docPr descr="https://ogu.edu.tr/files/duyuru/9ff77656-8e6a-4c44-98b9-5f236a699de2/ESOG%C3%9C_yeni%20logo.jpg" id="11" name="image1.jpg"/>
            <a:graphic>
              <a:graphicData uri="http://schemas.openxmlformats.org/drawingml/2006/picture">
                <pic:pic>
                  <pic:nvPicPr>
                    <pic:cNvPr descr="https://ogu.edu.tr/files/duyuru/9ff77656-8e6a-4c44-98b9-5f236a699de2/ESOG%C3%9C_yeni%20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-149964</wp:posOffset>
            </wp:positionV>
            <wp:extent cx="719455" cy="719455"/>
            <wp:effectExtent b="0" l="0" r="0" t="0"/>
            <wp:wrapNone/>
            <wp:docPr descr="https://ogu.edu.tr/files/duyuru/9ff77656-8e6a-4c44-98b9-5f236a699de2/ESOG%C3%9C_yeni%20logo.jpg" id="13" name="image1.jpg"/>
            <a:graphic>
              <a:graphicData uri="http://schemas.openxmlformats.org/drawingml/2006/picture">
                <pic:pic>
                  <pic:nvPicPr>
                    <pic:cNvPr descr="https://ogu.edu.tr/files/duyuru/9ff77656-8e6a-4c44-98b9-5f236a699de2/ESOG%C3%9C_yeni%20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VISUAL ARTS DEPARTMENT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INFORMATION FORM</w:t>
      </w:r>
    </w:p>
    <w:tbl>
      <w:tblPr>
        <w:tblStyle w:val="Table1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6"/>
        <w:gridCol w:w="3118"/>
        <w:tblGridChange w:id="0">
          <w:tblGrid>
            <w:gridCol w:w="6506"/>
            <w:gridCol w:w="311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Name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Code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Floral Design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141214013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8"/>
        <w:gridCol w:w="1885"/>
        <w:gridCol w:w="1984"/>
        <w:gridCol w:w="3827"/>
        <w:tblGridChange w:id="0">
          <w:tblGrid>
            <w:gridCol w:w="1928"/>
            <w:gridCol w:w="1885"/>
            <w:gridCol w:w="1984"/>
            <w:gridCol w:w="382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 of Course Hours per Week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ECTS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Theory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5"/>
        <w:gridCol w:w="1985"/>
        <w:gridCol w:w="2409"/>
        <w:gridCol w:w="2835"/>
        <w:tblGridChange w:id="0">
          <w:tblGrid>
            <w:gridCol w:w="2395"/>
            <w:gridCol w:w="1985"/>
            <w:gridCol w:w="2409"/>
            <w:gridCol w:w="283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Category (Credit)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Basic Sciences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Design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Social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8"/>
        <w:gridCol w:w="3208"/>
        <w:gridCol w:w="3208"/>
        <w:tblGridChange w:id="0">
          <w:tblGrid>
            <w:gridCol w:w="3208"/>
            <w:gridCol w:w="3208"/>
            <w:gridCol w:w="320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Language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Level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Type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Turkish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Undergraduate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Elective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2"/>
        <w:gridCol w:w="7512"/>
        <w:tblGridChange w:id="0">
          <w:tblGrid>
            <w:gridCol w:w="2112"/>
            <w:gridCol w:w="7512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Prerequisite(s) if any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Objectives of the Course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aim of this course is to develop the student's relationship with nature, plants, and flowers, enabling them to create artistic productions with a unique perspective.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Short Course Content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Production of a written and applied project through the reading of books on the relationship between nature and art.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"/>
        <w:gridCol w:w="4955"/>
        <w:gridCol w:w="1417"/>
        <w:gridCol w:w="1417"/>
        <w:gridCol w:w="1418"/>
        <w:tblGridChange w:id="0">
          <w:tblGrid>
            <w:gridCol w:w="417"/>
            <w:gridCol w:w="4955"/>
            <w:gridCol w:w="1417"/>
            <w:gridCol w:w="1417"/>
            <w:gridCol w:w="141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Outcomes of the Course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Contributed PO(s)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Teaching Methods *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Measuring Methods **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 text to make inferences and analysis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3, 4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1, 2, 5, 6, 7,11, 13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Creating a context based on the emerging concept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1, 2, 5, 6, 7,11, 13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Making an art production based on the created context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5, 8, 9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1, 2, 5, 6, 7,11, 13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Acting in accordance with information ethics and legal rules in art and design productions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1, 2, 5, 6, 7,11, 13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sz w:val="20"/>
          <w:szCs w:val="20"/>
        </w:rPr>
        <w:sectPr>
          <w:footerReference r:id="rId8" w:type="default"/>
          <w:footerReference r:id="rId9" w:type="first"/>
          <w:pgSz w:h="16838" w:w="11906" w:orient="portrait"/>
          <w:pgMar w:bottom="425" w:top="425" w:left="1134" w:right="1134" w:header="0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2"/>
        <w:gridCol w:w="7512"/>
        <w:tblGridChange w:id="0">
          <w:tblGrid>
            <w:gridCol w:w="2112"/>
            <w:gridCol w:w="751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Main Textbook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57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Supporting References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Bitkilerin En Güzel Tarihi, Jacques Girardon, Jean-Marie Pelt,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Marcel Mazoyer, Theodore Monod, Türkiye İş Bankası Kültür Yayınları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Bitki Mitosları, Deniz Gezgin, Sel Yayınları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 Flowers: Contemporaray Floral Desgin and Installations,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Oliver Dupon, Ekim 2014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Necessary Course Material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selected books, materials for project production, and computer programs,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7"/>
        <w:gridCol w:w="8957"/>
        <w:tblGridChange w:id="0">
          <w:tblGrid>
            <w:gridCol w:w="667"/>
            <w:gridCol w:w="895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Schedule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purpose, content, and process of the course will be provided.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Introduction of the selected book on nature and art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and discussions on the selected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and discussions on the selected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and discussions on the selected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Production of a project related to the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project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 Exam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Introduction of the selected book on nature and art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and discussions on the selected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and discussions on the selected book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 and discussions on the selected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Production of a project related to the book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project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project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16,17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Exam</w:t>
            </w:r>
          </w:p>
        </w:tc>
      </w:tr>
    </w:tbl>
    <w:p w:rsidR="00000000" w:rsidDel="00000000" w:rsidP="00000000" w:rsidRDefault="00000000" w:rsidRPr="00000000" w14:paraId="0000008F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97"/>
        <w:gridCol w:w="1275"/>
        <w:gridCol w:w="1276"/>
        <w:gridCol w:w="1276"/>
        <w:tblGridChange w:id="0">
          <w:tblGrid>
            <w:gridCol w:w="5797"/>
            <w:gridCol w:w="1275"/>
            <w:gridCol w:w="1276"/>
            <w:gridCol w:w="1276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Calculation of Course Workload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Activities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Time (Hour)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Workload (Hour)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Course Time (number of course hours per week)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Out-of-Class Study Time (Literature review, reading, watching, practice, material research)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Studying for Mid-Term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Studying for Final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Toplam iş yükü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68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Toplam iş yükü /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2,2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AKTS Kredisi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E4">
      <w:pPr>
        <w:rPr/>
        <w:sectPr>
          <w:headerReference r:id="rId10" w:type="default"/>
          <w:headerReference r:id="rId11" w:type="first"/>
          <w:headerReference r:id="rId12" w:type="even"/>
          <w:footerReference r:id="rId13" w:type="default"/>
          <w:type w:val="nextPage"/>
          <w:pgSz w:h="16838" w:w="11906" w:orient="portrait"/>
          <w:pgMar w:bottom="425" w:top="709" w:left="1134" w:right="1134" w:header="0" w:footer="283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97"/>
        <w:gridCol w:w="3827"/>
        <w:tblGridChange w:id="0">
          <w:tblGrid>
            <w:gridCol w:w="5797"/>
            <w:gridCol w:w="382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Evaluation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Activity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%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Bir öğe seçin.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Bir öğe seçin.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Final 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F4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7797"/>
        <w:gridCol w:w="1275"/>
        <w:tblGridChange w:id="0">
          <w:tblGrid>
            <w:gridCol w:w="552"/>
            <w:gridCol w:w="7797"/>
            <w:gridCol w:w="1275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RELATIONSHIP BETWEEN THE COURSE LEARNING OUTCOMES AND THE PROGRAM OUTCOMES (PO)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(5: Very high, 4: High, 3: Middle, 2: Low, 1: Very 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PROGRAM OUTCOME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Contribution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Comprehending the basic concepts, elements and principles of visual arts.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Acquisitioning and using the knowledge about the history of visual 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Evaluating with a critical approach of the knowledge gained by having the ability to review and use the literature on visual arts.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Gaining the ability to acquire scientific, philosophical, cultural and technological knowledge in the field of visual arts and follow the relevant developments.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Gaining the knowledge and skills of interdisciplinary study and transferring them to art practices in theoretical or practical processes.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the ability to perform experimental productions by producing ways of alternative solutions for the problems encountered.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a critical perspective on own art practices and to consider the criticisms of audiences.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Paying attention to ethical rules in the production and exhibition processes of artistic practices.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"/>
        <w:gridCol w:w="2055"/>
        <w:gridCol w:w="2055"/>
        <w:gridCol w:w="2055"/>
        <w:gridCol w:w="2056"/>
        <w:tblGridChange w:id="0">
          <w:tblGrid>
            <w:gridCol w:w="1403"/>
            <w:gridCol w:w="2055"/>
            <w:gridCol w:w="2055"/>
            <w:gridCol w:w="2055"/>
            <w:gridCol w:w="2056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5"/>
            <w:shd w:fill="fff2cc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LECTUTER(S)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Prepared by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Arzu Gaye Kalavlı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Signature(s)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0460" cy="688340"/>
                  <wp:effectExtent b="0" l="0" r="0" t="0"/>
                  <wp:docPr descr="A picture containing icon&#10;&#10;Description automatically generated" id="12" name="image2.jpg"/>
                  <a:graphic>
                    <a:graphicData uri="http://schemas.openxmlformats.org/drawingml/2006/picture">
                      <pic:pic>
                        <pic:nvPicPr>
                          <pic:cNvPr descr="A picture containing icon&#10;&#10;Description automatically generated" id="0" name="image2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688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06.06.2024</w:t>
      </w:r>
    </w:p>
    <w:sectPr>
      <w:type w:val="nextPage"/>
      <w:pgSz w:h="16838" w:w="11906" w:orient="portrait"/>
      <w:pgMar w:bottom="425" w:top="709" w:left="1134" w:right="1134" w:header="0" w:footer="28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84" w:right="0" w:hanging="284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*Teaching Methods 1: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Expression, 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Discussion,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Experiment,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4: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Simulation,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5: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Question-Answer,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6: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Tutorial,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:Observation,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8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:Case Study,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9: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Technical Visit,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10: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Trouble/Problem Solving,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11: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Induvidual Work,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:Team/Group Work,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:Brain Storm,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14: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Project Design / Management,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15: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Report Preparation and/or Presentation </w:t>
    </w:r>
  </w:p>
  <w:p w:rsidR="00000000" w:rsidDel="00000000" w:rsidP="00000000" w:rsidRDefault="00000000" w:rsidRPr="00000000" w14:paraId="00000135">
    <w:pPr>
      <w:shd w:fill="ffffff" w:val="clear"/>
      <w:spacing w:after="0" w:line="240" w:lineRule="auto"/>
      <w:ind w:left="284" w:hanging="284"/>
      <w:jc w:val="both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**Measuring Methods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A: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Exam,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B: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Quiz,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Oral Exam,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D: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Homework,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E: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Report,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F: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Article Examination,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G: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Presentation,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Experimental Skill,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J: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Project Observation,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K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:Class Attendance;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L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:Jury Exam</w:t>
    </w:r>
  </w:p>
  <w:p w:rsidR="00000000" w:rsidDel="00000000" w:rsidP="00000000" w:rsidRDefault="00000000" w:rsidRPr="00000000" w14:paraId="00000136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ESOGU …………… DEPARTMENT © 2024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ESOGU ………………. DEPARTMENT © 2024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ESOGÜ KİMYA MÜHENDİSLİĞİ BÖLÜMÜ 2016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24B7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3E403F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924B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66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6634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95AEA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2A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2A5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2A55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 w:val="1"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1ECB"/>
  </w:style>
  <w:style w:type="paragraph" w:styleId="Default" w:customStyle="1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pN3yMNLTajAmEAoCmLRoL6xSw==">CgMxLjA4AHIhMU9WV25zdlQ2VFQtVG1ycmtBVmFVeEhpTDZxUEJYbEdt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2024-08-08T09:59:00Z</dcterms:created>
  <dc:creator>murat dgr</dc:creator>
</cp:coreProperties>
</file>